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ascii="Times New Roman" w:hAnsi="Times New Roman" w:eastAsia="仿宋_GB2312"/>
          <w:sz w:val="28"/>
          <w:szCs w:val="28"/>
        </w:rPr>
      </w:pPr>
      <w:r>
        <w:rPr>
          <w:rFonts w:ascii="Times New Roman" w:hAnsi="Times New Roman" w:eastAsia="仿宋_GB2312"/>
          <w:b/>
          <w:bCs/>
          <w:kern w:val="36"/>
          <w:sz w:val="32"/>
          <w:szCs w:val="32"/>
        </w:rPr>
        <w:t>天津工业大学电气工程学院</w:t>
      </w:r>
    </w:p>
    <w:p>
      <w:pPr>
        <w:jc w:val="center"/>
        <w:rPr>
          <w:rFonts w:ascii="Times New Roman" w:hAnsi="Times New Roman" w:eastAsia="仿宋_GB2312"/>
          <w:b/>
          <w:bCs/>
          <w:kern w:val="36"/>
          <w:sz w:val="32"/>
          <w:szCs w:val="32"/>
        </w:rPr>
      </w:pPr>
      <w:r>
        <w:rPr>
          <w:rFonts w:ascii="Times New Roman" w:hAnsi="Times New Roman" w:eastAsia="仿宋_GB2312"/>
          <w:b/>
          <w:bCs/>
          <w:kern w:val="36"/>
          <w:sz w:val="32"/>
          <w:szCs w:val="32"/>
        </w:rPr>
        <w:t>2023级研究生招生夏令营活动通知</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电气工程学院将于2022年9月</w:t>
      </w:r>
      <w:r>
        <w:rPr>
          <w:rFonts w:ascii="Times New Roman" w:hAnsi="Times New Roman" w:eastAsia="仿宋_GB2312"/>
          <w:sz w:val="28"/>
          <w:szCs w:val="28"/>
          <w:lang w:eastAsia="zh-Hans"/>
        </w:rPr>
        <w:t>初</w:t>
      </w:r>
      <w:r>
        <w:rPr>
          <w:rFonts w:ascii="Times New Roman" w:hAnsi="Times New Roman" w:eastAsia="仿宋_GB2312"/>
          <w:sz w:val="28"/>
          <w:szCs w:val="28"/>
        </w:rPr>
        <w:t>举办2023级研究生招生夏令营活动，此次夏令营为加深同学们对我院的了解，熟悉学院研究方向而举办，欢迎有意报考我院2023级研究生的同学积极申请。</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一、研究生招生情况介绍</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学院简介</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天津工业大学电气工程学院前身可追溯到1980年创建的天津纺织工学院自动化系，2009年4月成立电气工程与自动化学院。为了更好地加快学校“双一流”学科建设，2021年9月正式成立电气工程学院。</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学院师资力量雄厚，拥有中国工程院院士、国家杰出青年基金获得者、长江学者特聘教授、“万人计划”科技创新领军人才、“中国青年科技奖”获得者、何梁何利基金科学技术奖获得者、“新世纪百千万人才工程”国家级人选、国家优秀青年基金获得者、中国科学院引进杰出技术人才、天津市杰出青年基金获得者、天津市中青年科技创新领军人才、天津市“131”创新型人才等高端人才。</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学院拥有“电气工程及其自动化”本科专业，2020年获批国家一流本科专业，拥有国家级和天津市级一流课程、天津市教学名师，获省部级以上教学成果奖励20余项。学院拥有“电气工程”一级学科，是天津市一流学科、天津市重点学科，2021年入选“天津市高校顶尖学科培育计划”。学院现有“电气工程”一级学科硕士学位授权点和“能源动力（电气工程）”专业学位授权点，为国家培养了大量高水平创新人才。</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目前学院建有“高效能电机系统智能设计与制造”国家地方联合工程研究中心、“电气装备智能控制”天津市重点实验室、“电机系统先进设计与智能控制技术”天津市工程中心、“智能电气装备与控制技术”天津市国际联合研究中心、“自动化与电气工程”天津市实验教学示范中心。学院承担了国家973计划、国家科技支撑计划、国家重点研发计划、国家自然科学基金、天津市科技支撑计划、天津市自然科学基金等科研项目，以及众多企业研发项目，拥有丰硕的科研成果及国际国内发明专利。</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学院高度注重国际交流，电气工程及其自动化专业获批中外合作办学项目（与澳大利亚伍伦贡大学合作建设），同时与悉尼大学、俄罗斯托木斯克理工大学等世界知名高校有着长期合作。</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学院将继续以科技前沿、国家重大战略需求为导向，在习近平新时代中国特色社会主义思想指引下，坚持改革创新，落实立德树人根本任务，瞄准电气工程领域“卡脖子”难题，牢牢把握“双一流”建设重大机遇，助力天津市“一基地三区”建设，培养国家急需人才，支撑我国电气工程事业的自主创新发展。</w:t>
      </w:r>
    </w:p>
    <w:p>
      <w:pPr>
        <w:spacing w:line="500" w:lineRule="exact"/>
        <w:ind w:firstLine="420" w:firstLineChars="200"/>
        <w:rPr>
          <w:rFonts w:ascii="Times New Roman" w:hAnsi="Times New Roman" w:eastAsia="仿宋_GB2312"/>
          <w:sz w:val="28"/>
          <w:szCs w:val="28"/>
        </w:rPr>
      </w:pPr>
      <w:r>
        <w:rPr>
          <w:rFonts w:ascii="Times New Roman" w:hAnsi="Times New Roman"/>
        </w:rPr>
        <w:drawing>
          <wp:anchor distT="0" distB="0" distL="114300" distR="114300" simplePos="0" relativeHeight="251659264" behindDoc="1" locked="0" layoutInCell="1" allowOverlap="1">
            <wp:simplePos x="0" y="0"/>
            <wp:positionH relativeFrom="column">
              <wp:posOffset>4224655</wp:posOffset>
            </wp:positionH>
            <wp:positionV relativeFrom="paragraph">
              <wp:posOffset>271145</wp:posOffset>
            </wp:positionV>
            <wp:extent cx="949960" cy="939800"/>
            <wp:effectExtent l="28575" t="28575" r="37465" b="47625"/>
            <wp:wrapNone/>
            <wp:docPr id="3" name="图片 2"/>
            <wp:cNvGraphicFramePr/>
            <a:graphic xmlns:a="http://schemas.openxmlformats.org/drawingml/2006/main">
              <a:graphicData uri="http://schemas.openxmlformats.org/drawingml/2006/picture">
                <pic:pic xmlns:pic="http://schemas.openxmlformats.org/drawingml/2006/picture">
                  <pic:nvPicPr>
                    <pic:cNvPr id="3" name="图片 2"/>
                    <pic:cNvPicPr/>
                  </pic:nvPicPr>
                  <pic:blipFill>
                    <a:blip r:embed="rId4"/>
                    <a:stretch>
                      <a:fillRect/>
                    </a:stretch>
                  </pic:blipFill>
                  <pic:spPr>
                    <a:xfrm>
                      <a:off x="0" y="0"/>
                      <a:ext cx="949960" cy="939800"/>
                    </a:xfrm>
                    <a:prstGeom prst="rect">
                      <a:avLst/>
                    </a:prstGeom>
                    <a:ln w="28575" cmpd="sng">
                      <a:solidFill>
                        <a:schemeClr val="accent1">
                          <a:shade val="50000"/>
                        </a:schemeClr>
                      </a:solidFill>
                      <a:prstDash val="solid"/>
                    </a:ln>
                  </pic:spPr>
                </pic:pic>
              </a:graphicData>
            </a:graphic>
          </wp:anchor>
        </w:drawing>
      </w:r>
    </w:p>
    <w:p>
      <w:pPr>
        <w:spacing w:line="500" w:lineRule="exact"/>
        <w:ind w:firstLine="280" w:firstLineChars="100"/>
        <w:rPr>
          <w:rFonts w:ascii="Times New Roman" w:hAnsi="Times New Roman" w:eastAsia="仿宋_GB2312"/>
          <w:sz w:val="28"/>
          <w:szCs w:val="28"/>
        </w:rPr>
      </w:pPr>
      <w:r>
        <w:rPr>
          <w:rFonts w:ascii="Times New Roman" w:hAnsi="Times New Roman" w:eastAsia="仿宋_GB2312"/>
          <w:sz w:val="28"/>
          <w:szCs w:val="28"/>
        </w:rPr>
        <w:t>研究生招生介绍（视频）</w:t>
      </w:r>
    </w:p>
    <w:p>
      <w:pPr>
        <w:spacing w:line="500" w:lineRule="exact"/>
        <w:ind w:firstLine="280" w:firstLineChars="100"/>
        <w:rPr>
          <w:rFonts w:ascii="Times New Roman" w:hAnsi="Times New Roman" w:eastAsia="仿宋_GB2312"/>
          <w:sz w:val="28"/>
          <w:szCs w:val="28"/>
        </w:rPr>
      </w:pPr>
      <w:r>
        <w:rPr>
          <w:rFonts w:ascii="Times New Roman" w:hAnsi="Times New Roman" w:eastAsia="仿宋_GB2312"/>
          <w:sz w:val="28"/>
          <w:szCs w:val="28"/>
          <w:lang w:eastAsia="zh-Hans"/>
        </w:rPr>
        <w:t>电气</w:t>
      </w:r>
      <w:r>
        <w:rPr>
          <w:rFonts w:ascii="Times New Roman" w:hAnsi="Times New Roman" w:eastAsia="仿宋_GB2312"/>
          <w:sz w:val="28"/>
          <w:szCs w:val="28"/>
        </w:rPr>
        <w:t>工程学院：</w:t>
      </w:r>
    </w:p>
    <w:p>
      <w:pPr>
        <w:spacing w:line="500" w:lineRule="exact"/>
        <w:ind w:firstLine="210" w:firstLineChars="100"/>
        <w:rPr>
          <w:rFonts w:ascii="Times New Roman" w:hAnsi="Times New Roman" w:eastAsia="仿宋_GB2312"/>
          <w:sz w:val="28"/>
          <w:szCs w:val="28"/>
        </w:rPr>
      </w:pPr>
      <w:r>
        <w:fldChar w:fldCharType="begin"/>
      </w:r>
      <w:r>
        <w:instrText xml:space="preserve"> HYPERLINK "http://yzconsole.360eol.com/web/video/detail." </w:instrText>
      </w:r>
      <w:r>
        <w:fldChar w:fldCharType="separate"/>
      </w:r>
      <w:r>
        <w:rPr>
          <w:rStyle w:val="7"/>
          <w:rFonts w:ascii="Times New Roman" w:hAnsi="Times New Roman" w:eastAsia="仿宋_GB2312"/>
          <w:sz w:val="24"/>
          <w:szCs w:val="24"/>
        </w:rPr>
        <w:t>http://yzconsole.360eol.com/web/video/detail.</w:t>
      </w:r>
      <w:r>
        <w:rPr>
          <w:rStyle w:val="7"/>
          <w:rFonts w:ascii="Times New Roman" w:hAnsi="Times New Roman" w:eastAsia="仿宋_GB2312"/>
          <w:sz w:val="24"/>
          <w:szCs w:val="24"/>
        </w:rPr>
        <w:fldChar w:fldCharType="end"/>
      </w:r>
      <w:r>
        <w:rPr>
          <w:rFonts w:ascii="Times New Roman" w:hAnsi="Times New Roman" w:eastAsia="仿宋_GB2312"/>
          <w:sz w:val="24"/>
          <w:szCs w:val="24"/>
        </w:rPr>
        <w:t>html?id=2254</w:t>
      </w:r>
    </w:p>
    <w:p>
      <w:pPr>
        <w:spacing w:line="500" w:lineRule="exact"/>
        <w:ind w:firstLine="560" w:firstLineChars="200"/>
        <w:rPr>
          <w:rFonts w:ascii="Times New Roman" w:hAnsi="Times New Roman" w:eastAsia="仿宋_GB2312"/>
          <w:sz w:val="28"/>
          <w:szCs w:val="28"/>
        </w:rPr>
      </w:pP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招生专业及考试科目</w:t>
      </w:r>
    </w:p>
    <w:tbl>
      <w:tblPr>
        <w:tblStyle w:val="4"/>
        <w:tblpPr w:leftFromText="180" w:rightFromText="180" w:vertAnchor="text" w:horzAnchor="page" w:tblpX="1782" w:tblpY="485"/>
        <w:tblOverlap w:val="never"/>
        <w:tblW w:w="8553"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66"/>
        <w:gridCol w:w="1927"/>
        <w:gridCol w:w="2025"/>
        <w:gridCol w:w="1080"/>
        <w:gridCol w:w="615"/>
        <w:gridCol w:w="2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866" w:type="dxa"/>
            <w:tcBorders>
              <w:tl2br w:val="nil"/>
              <w:tr2bl w:val="nil"/>
            </w:tcBorders>
            <w:shd w:val="clear" w:color="auto" w:fill="auto"/>
            <w:tcMar>
              <w:top w:w="40" w:type="dxa"/>
              <w:left w:w="40" w:type="dxa"/>
              <w:bottom w:w="40" w:type="dxa"/>
              <w:right w:w="40" w:type="dxa"/>
            </w:tcMar>
            <w:vAlign w:val="center"/>
          </w:tcPr>
          <w:p>
            <w:pPr>
              <w:jc w:val="center"/>
              <w:rPr>
                <w:rFonts w:ascii="Times New Roman" w:hAnsi="Times New Roman"/>
                <w:sz w:val="18"/>
                <w:szCs w:val="18"/>
              </w:rPr>
            </w:pPr>
            <w:r>
              <w:rPr>
                <w:rFonts w:ascii="Times New Roman" w:hAnsi="Times New Roman"/>
                <w:b/>
                <w:sz w:val="18"/>
                <w:szCs w:val="18"/>
              </w:rPr>
              <w:t>院系所</w:t>
            </w:r>
          </w:p>
        </w:tc>
        <w:tc>
          <w:tcPr>
            <w:tcW w:w="1927" w:type="dxa"/>
            <w:tcBorders>
              <w:tl2br w:val="nil"/>
              <w:tr2bl w:val="nil"/>
            </w:tcBorders>
            <w:shd w:val="clear" w:color="auto" w:fill="auto"/>
            <w:tcMar>
              <w:top w:w="40" w:type="dxa"/>
              <w:left w:w="40" w:type="dxa"/>
              <w:bottom w:w="40" w:type="dxa"/>
              <w:right w:w="40" w:type="dxa"/>
            </w:tcMar>
            <w:vAlign w:val="center"/>
          </w:tcPr>
          <w:p>
            <w:pPr>
              <w:jc w:val="center"/>
              <w:rPr>
                <w:rFonts w:ascii="Times New Roman" w:hAnsi="Times New Roman"/>
                <w:sz w:val="18"/>
                <w:szCs w:val="18"/>
              </w:rPr>
            </w:pPr>
            <w:r>
              <w:rPr>
                <w:rFonts w:ascii="Times New Roman" w:hAnsi="Times New Roman"/>
                <w:b/>
                <w:sz w:val="18"/>
                <w:szCs w:val="18"/>
              </w:rPr>
              <w:t>专业</w:t>
            </w:r>
          </w:p>
        </w:tc>
        <w:tc>
          <w:tcPr>
            <w:tcW w:w="2025" w:type="dxa"/>
            <w:tcBorders>
              <w:tl2br w:val="nil"/>
              <w:tr2bl w:val="nil"/>
            </w:tcBorders>
            <w:shd w:val="clear" w:color="auto" w:fill="auto"/>
            <w:tcMar>
              <w:top w:w="40" w:type="dxa"/>
              <w:left w:w="40" w:type="dxa"/>
              <w:bottom w:w="40" w:type="dxa"/>
              <w:right w:w="40" w:type="dxa"/>
            </w:tcMar>
            <w:vAlign w:val="center"/>
          </w:tcPr>
          <w:p>
            <w:pPr>
              <w:jc w:val="center"/>
              <w:rPr>
                <w:rFonts w:ascii="Times New Roman" w:hAnsi="Times New Roman"/>
                <w:sz w:val="18"/>
                <w:szCs w:val="18"/>
              </w:rPr>
            </w:pPr>
            <w:r>
              <w:rPr>
                <w:rFonts w:ascii="Times New Roman" w:hAnsi="Times New Roman"/>
                <w:b/>
                <w:sz w:val="18"/>
                <w:szCs w:val="18"/>
              </w:rPr>
              <w:t>研究方向</w:t>
            </w:r>
          </w:p>
        </w:tc>
        <w:tc>
          <w:tcPr>
            <w:tcW w:w="1080" w:type="dxa"/>
            <w:tcBorders>
              <w:tl2br w:val="nil"/>
              <w:tr2bl w:val="nil"/>
            </w:tcBorders>
            <w:shd w:val="clear" w:color="auto" w:fill="auto"/>
            <w:tcMar>
              <w:top w:w="40" w:type="dxa"/>
              <w:left w:w="40" w:type="dxa"/>
              <w:bottom w:w="40" w:type="dxa"/>
              <w:right w:w="40" w:type="dxa"/>
            </w:tcMar>
            <w:vAlign w:val="center"/>
          </w:tcPr>
          <w:p>
            <w:pPr>
              <w:jc w:val="center"/>
              <w:rPr>
                <w:rFonts w:ascii="Times New Roman" w:hAnsi="Times New Roman"/>
                <w:sz w:val="18"/>
                <w:szCs w:val="18"/>
              </w:rPr>
            </w:pPr>
            <w:r>
              <w:rPr>
                <w:rFonts w:ascii="Times New Roman" w:hAnsi="Times New Roman"/>
                <w:b/>
                <w:sz w:val="18"/>
                <w:szCs w:val="18"/>
              </w:rPr>
              <w:t>学习方式</w:t>
            </w:r>
          </w:p>
        </w:tc>
        <w:tc>
          <w:tcPr>
            <w:tcW w:w="615" w:type="dxa"/>
            <w:tcBorders>
              <w:tl2br w:val="nil"/>
              <w:tr2bl w:val="nil"/>
            </w:tcBorders>
            <w:shd w:val="clear" w:color="auto" w:fill="auto"/>
            <w:tcMar>
              <w:top w:w="40" w:type="dxa"/>
              <w:left w:w="40" w:type="dxa"/>
              <w:bottom w:w="40" w:type="dxa"/>
              <w:right w:w="40" w:type="dxa"/>
            </w:tcMar>
            <w:vAlign w:val="center"/>
          </w:tcPr>
          <w:p>
            <w:pPr>
              <w:jc w:val="center"/>
              <w:rPr>
                <w:rFonts w:ascii="Times New Roman" w:hAnsi="Times New Roman"/>
                <w:b/>
                <w:sz w:val="18"/>
                <w:szCs w:val="18"/>
              </w:rPr>
            </w:pPr>
            <w:r>
              <w:rPr>
                <w:rFonts w:ascii="Times New Roman" w:hAnsi="Times New Roman"/>
                <w:b/>
                <w:sz w:val="18"/>
                <w:szCs w:val="18"/>
              </w:rPr>
              <w:t>学制（年）</w:t>
            </w:r>
          </w:p>
        </w:tc>
        <w:tc>
          <w:tcPr>
            <w:tcW w:w="2040" w:type="dxa"/>
            <w:tcBorders>
              <w:tl2br w:val="nil"/>
              <w:tr2bl w:val="nil"/>
            </w:tcBorders>
            <w:shd w:val="clear" w:color="auto" w:fill="auto"/>
            <w:tcMar>
              <w:top w:w="40" w:type="dxa"/>
              <w:left w:w="40" w:type="dxa"/>
              <w:bottom w:w="40" w:type="dxa"/>
              <w:right w:w="40" w:type="dxa"/>
            </w:tcMar>
            <w:vAlign w:val="center"/>
          </w:tcPr>
          <w:p>
            <w:pPr>
              <w:jc w:val="center"/>
              <w:rPr>
                <w:rFonts w:ascii="Times New Roman" w:hAnsi="Times New Roman"/>
                <w:sz w:val="18"/>
                <w:szCs w:val="18"/>
              </w:rPr>
            </w:pPr>
            <w:r>
              <w:rPr>
                <w:rFonts w:ascii="Times New Roman" w:hAnsi="Times New Roman"/>
                <w:b/>
                <w:sz w:val="18"/>
                <w:szCs w:val="18"/>
              </w:rPr>
              <w:t>考试科目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866" w:type="dxa"/>
            <w:vMerge w:val="restart"/>
            <w:tcBorders>
              <w:tl2br w:val="nil"/>
              <w:tr2bl w:val="nil"/>
            </w:tcBorders>
            <w:shd w:val="clear" w:color="auto" w:fill="auto"/>
            <w:tcMar>
              <w:top w:w="40" w:type="dxa"/>
              <w:left w:w="40" w:type="dxa"/>
              <w:bottom w:w="40" w:type="dxa"/>
              <w:right w:w="40" w:type="dxa"/>
            </w:tcMar>
            <w:vAlign w:val="center"/>
          </w:tcPr>
          <w:p>
            <w:pPr>
              <w:jc w:val="center"/>
              <w:rPr>
                <w:rFonts w:ascii="Times New Roman" w:hAnsi="Times New Roman"/>
                <w:sz w:val="18"/>
                <w:szCs w:val="18"/>
              </w:rPr>
            </w:pPr>
            <w:r>
              <w:rPr>
                <w:rFonts w:ascii="Times New Roman" w:hAnsi="Times New Roman"/>
                <w:sz w:val="18"/>
                <w:szCs w:val="18"/>
              </w:rPr>
              <w:t>007电气工程学院</w:t>
            </w:r>
          </w:p>
        </w:tc>
        <w:tc>
          <w:tcPr>
            <w:tcW w:w="1927" w:type="dxa"/>
            <w:vMerge w:val="restart"/>
            <w:tcBorders>
              <w:tl2br w:val="nil"/>
              <w:tr2bl w:val="nil"/>
            </w:tcBorders>
            <w:shd w:val="clear" w:color="auto" w:fill="auto"/>
            <w:tcMar>
              <w:top w:w="40" w:type="dxa"/>
              <w:left w:w="40" w:type="dxa"/>
              <w:bottom w:w="40" w:type="dxa"/>
              <w:right w:w="40" w:type="dxa"/>
            </w:tcMar>
            <w:vAlign w:val="center"/>
          </w:tcPr>
          <w:p>
            <w:pPr>
              <w:jc w:val="center"/>
              <w:rPr>
                <w:rFonts w:ascii="Times New Roman" w:hAnsi="Times New Roman"/>
                <w:sz w:val="18"/>
                <w:szCs w:val="18"/>
              </w:rPr>
            </w:pPr>
            <w:r>
              <w:rPr>
                <w:rFonts w:ascii="Times New Roman" w:hAnsi="Times New Roman"/>
                <w:sz w:val="18"/>
                <w:szCs w:val="18"/>
              </w:rPr>
              <w:t>080800</w:t>
            </w:r>
          </w:p>
          <w:p>
            <w:pPr>
              <w:jc w:val="center"/>
              <w:rPr>
                <w:rFonts w:ascii="Times New Roman" w:hAnsi="Times New Roman"/>
                <w:sz w:val="18"/>
                <w:szCs w:val="18"/>
              </w:rPr>
            </w:pPr>
            <w:r>
              <w:rPr>
                <w:rFonts w:ascii="Times New Roman" w:hAnsi="Times New Roman"/>
                <w:sz w:val="18"/>
                <w:szCs w:val="18"/>
              </w:rPr>
              <w:t>电气工程</w:t>
            </w:r>
          </w:p>
          <w:p>
            <w:pPr>
              <w:jc w:val="center"/>
              <w:rPr>
                <w:rFonts w:ascii="Times New Roman" w:hAnsi="Times New Roman"/>
                <w:sz w:val="18"/>
                <w:szCs w:val="18"/>
              </w:rPr>
            </w:pPr>
            <w:r>
              <w:rPr>
                <w:rFonts w:ascii="Times New Roman" w:hAnsi="Times New Roman"/>
                <w:sz w:val="18"/>
                <w:szCs w:val="18"/>
              </w:rPr>
              <w:t>（学术学位）</w:t>
            </w:r>
          </w:p>
        </w:tc>
        <w:tc>
          <w:tcPr>
            <w:tcW w:w="2025" w:type="dxa"/>
            <w:tcBorders>
              <w:tl2br w:val="nil"/>
              <w:tr2bl w:val="nil"/>
            </w:tcBorders>
            <w:shd w:val="clear" w:color="auto" w:fill="auto"/>
            <w:tcMar>
              <w:top w:w="40" w:type="dxa"/>
              <w:left w:w="40" w:type="dxa"/>
              <w:bottom w:w="40" w:type="dxa"/>
              <w:right w:w="40" w:type="dxa"/>
            </w:tcMar>
            <w:vAlign w:val="center"/>
          </w:tcPr>
          <w:p>
            <w:pPr>
              <w:rPr>
                <w:rFonts w:ascii="Times New Roman" w:hAnsi="Times New Roman"/>
                <w:sz w:val="18"/>
                <w:szCs w:val="18"/>
              </w:rPr>
            </w:pPr>
            <w:r>
              <w:rPr>
                <w:rFonts w:ascii="Times New Roman" w:hAnsi="Times New Roman"/>
                <w:sz w:val="18"/>
                <w:szCs w:val="18"/>
              </w:rPr>
              <w:t>01电机系统及其控制</w:t>
            </w:r>
          </w:p>
        </w:tc>
        <w:tc>
          <w:tcPr>
            <w:tcW w:w="1080" w:type="dxa"/>
            <w:tcBorders>
              <w:tl2br w:val="nil"/>
              <w:tr2bl w:val="nil"/>
            </w:tcBorders>
            <w:shd w:val="clear" w:color="auto" w:fill="auto"/>
            <w:tcMar>
              <w:top w:w="40" w:type="dxa"/>
              <w:left w:w="40" w:type="dxa"/>
              <w:bottom w:w="40" w:type="dxa"/>
              <w:right w:w="40" w:type="dxa"/>
            </w:tcMar>
            <w:vAlign w:val="center"/>
          </w:tcPr>
          <w:p>
            <w:pPr>
              <w:jc w:val="center"/>
              <w:rPr>
                <w:rFonts w:ascii="Times New Roman" w:hAnsi="Times New Roman"/>
                <w:sz w:val="18"/>
                <w:szCs w:val="18"/>
              </w:rPr>
            </w:pPr>
            <w:r>
              <w:rPr>
                <w:rFonts w:ascii="Times New Roman" w:hAnsi="Times New Roman"/>
                <w:sz w:val="18"/>
                <w:szCs w:val="18"/>
              </w:rPr>
              <w:t>(1)全日制</w:t>
            </w:r>
          </w:p>
        </w:tc>
        <w:tc>
          <w:tcPr>
            <w:tcW w:w="615" w:type="dxa"/>
            <w:vMerge w:val="restart"/>
            <w:tcBorders>
              <w:tl2br w:val="nil"/>
              <w:tr2bl w:val="nil"/>
            </w:tcBorders>
            <w:shd w:val="clear" w:color="auto" w:fill="auto"/>
            <w:tcMar>
              <w:top w:w="40" w:type="dxa"/>
              <w:left w:w="40" w:type="dxa"/>
              <w:bottom w:w="40" w:type="dxa"/>
              <w:right w:w="40" w:type="dxa"/>
            </w:tcMar>
            <w:vAlign w:val="center"/>
          </w:tcPr>
          <w:p>
            <w:pPr>
              <w:jc w:val="center"/>
              <w:rPr>
                <w:rFonts w:ascii="Times New Roman" w:hAnsi="Times New Roman"/>
                <w:sz w:val="18"/>
                <w:szCs w:val="18"/>
              </w:rPr>
            </w:pPr>
            <w:r>
              <w:rPr>
                <w:rFonts w:ascii="Times New Roman" w:hAnsi="Times New Roman"/>
                <w:sz w:val="18"/>
                <w:szCs w:val="18"/>
              </w:rPr>
              <w:t>3</w:t>
            </w:r>
          </w:p>
        </w:tc>
        <w:tc>
          <w:tcPr>
            <w:tcW w:w="2040" w:type="dxa"/>
            <w:vMerge w:val="restart"/>
            <w:tcBorders>
              <w:tl2br w:val="nil"/>
              <w:tr2bl w:val="nil"/>
            </w:tcBorders>
            <w:shd w:val="clear" w:color="auto" w:fill="auto"/>
            <w:tcMar>
              <w:top w:w="40" w:type="dxa"/>
              <w:left w:w="40" w:type="dxa"/>
              <w:bottom w:w="40" w:type="dxa"/>
              <w:right w:w="40" w:type="dxa"/>
            </w:tcMar>
            <w:vAlign w:val="center"/>
          </w:tcPr>
          <w:p>
            <w:pPr>
              <w:rPr>
                <w:rFonts w:ascii="Times New Roman" w:hAnsi="Times New Roman"/>
                <w:sz w:val="18"/>
                <w:szCs w:val="18"/>
              </w:rPr>
            </w:pPr>
            <w:r>
              <w:rPr>
                <w:rFonts w:hint="eastAsia" w:ascii="宋体" w:hAnsi="宋体" w:cs="宋体"/>
                <w:sz w:val="18"/>
                <w:szCs w:val="18"/>
              </w:rPr>
              <w:t>①</w:t>
            </w:r>
            <w:r>
              <w:rPr>
                <w:rFonts w:ascii="Times New Roman" w:hAnsi="Times New Roman"/>
                <w:sz w:val="18"/>
                <w:szCs w:val="18"/>
              </w:rPr>
              <w:t>101思想政治理论</w:t>
            </w:r>
            <w:r>
              <w:rPr>
                <w:rFonts w:hint="eastAsia" w:ascii="宋体" w:hAnsi="宋体" w:cs="宋体"/>
                <w:sz w:val="18"/>
                <w:szCs w:val="18"/>
              </w:rPr>
              <w:t>②</w:t>
            </w:r>
            <w:r>
              <w:rPr>
                <w:rFonts w:ascii="Times New Roman" w:hAnsi="Times New Roman"/>
                <w:sz w:val="18"/>
                <w:szCs w:val="18"/>
              </w:rPr>
              <w:t>201英语（一）</w:t>
            </w:r>
            <w:r>
              <w:rPr>
                <w:rFonts w:hint="eastAsia" w:ascii="宋体" w:hAnsi="宋体" w:cs="宋体"/>
                <w:sz w:val="18"/>
                <w:szCs w:val="18"/>
              </w:rPr>
              <w:t>③</w:t>
            </w:r>
            <w:r>
              <w:rPr>
                <w:rFonts w:ascii="Times New Roman" w:hAnsi="Times New Roman"/>
                <w:sz w:val="18"/>
                <w:szCs w:val="18"/>
              </w:rPr>
              <w:t>301数学（一）</w:t>
            </w:r>
            <w:r>
              <w:rPr>
                <w:rFonts w:hint="eastAsia" w:ascii="宋体" w:hAnsi="宋体" w:cs="宋体"/>
                <w:sz w:val="18"/>
                <w:szCs w:val="18"/>
              </w:rPr>
              <w:t>④</w:t>
            </w:r>
            <w:r>
              <w:rPr>
                <w:rFonts w:ascii="Times New Roman" w:hAnsi="Times New Roman"/>
                <w:sz w:val="18"/>
                <w:szCs w:val="18"/>
              </w:rPr>
              <w:t>849电路理论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866" w:type="dxa"/>
            <w:vMerge w:val="continue"/>
            <w:tcBorders>
              <w:tl2br w:val="nil"/>
              <w:tr2bl w:val="nil"/>
            </w:tcBorders>
            <w:shd w:val="clear" w:color="auto" w:fill="auto"/>
            <w:tcMar>
              <w:top w:w="40" w:type="dxa"/>
              <w:left w:w="40" w:type="dxa"/>
              <w:bottom w:w="40" w:type="dxa"/>
              <w:right w:w="40" w:type="dxa"/>
            </w:tcMar>
            <w:vAlign w:val="center"/>
          </w:tcPr>
          <w:p>
            <w:pPr>
              <w:jc w:val="center"/>
              <w:rPr>
                <w:rFonts w:ascii="Times New Roman" w:hAnsi="Times New Roman"/>
                <w:sz w:val="18"/>
                <w:szCs w:val="18"/>
              </w:rPr>
            </w:pPr>
          </w:p>
        </w:tc>
        <w:tc>
          <w:tcPr>
            <w:tcW w:w="1927" w:type="dxa"/>
            <w:vMerge w:val="continue"/>
            <w:tcBorders>
              <w:tl2br w:val="nil"/>
              <w:tr2bl w:val="nil"/>
            </w:tcBorders>
            <w:shd w:val="clear" w:color="auto" w:fill="auto"/>
            <w:tcMar>
              <w:top w:w="40" w:type="dxa"/>
              <w:left w:w="40" w:type="dxa"/>
              <w:bottom w:w="40" w:type="dxa"/>
              <w:right w:w="40" w:type="dxa"/>
            </w:tcMar>
            <w:vAlign w:val="center"/>
          </w:tcPr>
          <w:p>
            <w:pPr>
              <w:jc w:val="center"/>
              <w:rPr>
                <w:rFonts w:ascii="Times New Roman" w:hAnsi="Times New Roman"/>
                <w:sz w:val="18"/>
                <w:szCs w:val="18"/>
              </w:rPr>
            </w:pPr>
          </w:p>
        </w:tc>
        <w:tc>
          <w:tcPr>
            <w:tcW w:w="2025" w:type="dxa"/>
            <w:tcBorders>
              <w:tl2br w:val="nil"/>
              <w:tr2bl w:val="nil"/>
            </w:tcBorders>
            <w:shd w:val="clear" w:color="auto" w:fill="auto"/>
            <w:tcMar>
              <w:top w:w="40" w:type="dxa"/>
              <w:left w:w="40" w:type="dxa"/>
              <w:bottom w:w="40" w:type="dxa"/>
              <w:right w:w="40" w:type="dxa"/>
            </w:tcMar>
            <w:vAlign w:val="center"/>
          </w:tcPr>
          <w:p>
            <w:pPr>
              <w:rPr>
                <w:rFonts w:ascii="Times New Roman" w:hAnsi="Times New Roman"/>
                <w:sz w:val="18"/>
                <w:szCs w:val="18"/>
              </w:rPr>
            </w:pPr>
            <w:r>
              <w:rPr>
                <w:rFonts w:ascii="Times New Roman" w:hAnsi="Times New Roman"/>
                <w:sz w:val="18"/>
                <w:szCs w:val="18"/>
              </w:rPr>
              <w:t>02电力电子与电力传动</w:t>
            </w:r>
          </w:p>
        </w:tc>
        <w:tc>
          <w:tcPr>
            <w:tcW w:w="1080" w:type="dxa"/>
            <w:tcBorders>
              <w:tl2br w:val="nil"/>
              <w:tr2bl w:val="nil"/>
            </w:tcBorders>
            <w:shd w:val="clear" w:color="auto" w:fill="auto"/>
            <w:tcMar>
              <w:top w:w="40" w:type="dxa"/>
              <w:left w:w="40" w:type="dxa"/>
              <w:bottom w:w="40" w:type="dxa"/>
              <w:right w:w="40" w:type="dxa"/>
            </w:tcMar>
            <w:vAlign w:val="center"/>
          </w:tcPr>
          <w:p>
            <w:pPr>
              <w:jc w:val="center"/>
              <w:rPr>
                <w:rFonts w:ascii="Times New Roman" w:hAnsi="Times New Roman"/>
                <w:sz w:val="18"/>
                <w:szCs w:val="18"/>
              </w:rPr>
            </w:pPr>
            <w:r>
              <w:rPr>
                <w:rFonts w:ascii="Times New Roman" w:hAnsi="Times New Roman"/>
                <w:sz w:val="18"/>
                <w:szCs w:val="18"/>
              </w:rPr>
              <w:t>(1)全日制</w:t>
            </w:r>
          </w:p>
        </w:tc>
        <w:tc>
          <w:tcPr>
            <w:tcW w:w="615" w:type="dxa"/>
            <w:vMerge w:val="continue"/>
            <w:tcBorders>
              <w:tl2br w:val="nil"/>
              <w:tr2bl w:val="nil"/>
            </w:tcBorders>
            <w:shd w:val="clear" w:color="auto" w:fill="auto"/>
            <w:tcMar>
              <w:top w:w="40" w:type="dxa"/>
              <w:left w:w="40" w:type="dxa"/>
              <w:bottom w:w="40" w:type="dxa"/>
              <w:right w:w="40" w:type="dxa"/>
            </w:tcMar>
            <w:vAlign w:val="center"/>
          </w:tcPr>
          <w:p>
            <w:pPr>
              <w:jc w:val="center"/>
              <w:rPr>
                <w:rFonts w:ascii="Times New Roman" w:hAnsi="Times New Roman"/>
                <w:sz w:val="18"/>
                <w:szCs w:val="18"/>
              </w:rPr>
            </w:pPr>
          </w:p>
        </w:tc>
        <w:tc>
          <w:tcPr>
            <w:tcW w:w="2040" w:type="dxa"/>
            <w:vMerge w:val="continue"/>
            <w:tcBorders>
              <w:tl2br w:val="nil"/>
              <w:tr2bl w:val="nil"/>
            </w:tcBorders>
            <w:shd w:val="clear" w:color="auto" w:fill="auto"/>
            <w:tcMar>
              <w:top w:w="40" w:type="dxa"/>
              <w:left w:w="40" w:type="dxa"/>
              <w:bottom w:w="40" w:type="dxa"/>
              <w:right w:w="40" w:type="dxa"/>
            </w:tcMar>
            <w:vAlign w:val="center"/>
          </w:tcPr>
          <w:p>
            <w:pP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866" w:type="dxa"/>
            <w:vMerge w:val="continue"/>
            <w:tcBorders>
              <w:tl2br w:val="nil"/>
              <w:tr2bl w:val="nil"/>
            </w:tcBorders>
            <w:shd w:val="clear" w:color="auto" w:fill="auto"/>
            <w:tcMar>
              <w:top w:w="40" w:type="dxa"/>
              <w:left w:w="40" w:type="dxa"/>
              <w:bottom w:w="40" w:type="dxa"/>
              <w:right w:w="40" w:type="dxa"/>
            </w:tcMar>
            <w:vAlign w:val="center"/>
          </w:tcPr>
          <w:p>
            <w:pPr>
              <w:jc w:val="center"/>
              <w:rPr>
                <w:rFonts w:ascii="Times New Roman" w:hAnsi="Times New Roman"/>
                <w:sz w:val="18"/>
                <w:szCs w:val="18"/>
              </w:rPr>
            </w:pPr>
          </w:p>
        </w:tc>
        <w:tc>
          <w:tcPr>
            <w:tcW w:w="1927" w:type="dxa"/>
            <w:vMerge w:val="continue"/>
            <w:tcBorders>
              <w:tl2br w:val="nil"/>
              <w:tr2bl w:val="nil"/>
            </w:tcBorders>
            <w:shd w:val="clear" w:color="auto" w:fill="auto"/>
            <w:tcMar>
              <w:top w:w="40" w:type="dxa"/>
              <w:left w:w="40" w:type="dxa"/>
              <w:bottom w:w="40" w:type="dxa"/>
              <w:right w:w="40" w:type="dxa"/>
            </w:tcMar>
            <w:vAlign w:val="center"/>
          </w:tcPr>
          <w:p>
            <w:pPr>
              <w:jc w:val="center"/>
              <w:rPr>
                <w:rFonts w:ascii="Times New Roman" w:hAnsi="Times New Roman"/>
                <w:sz w:val="18"/>
                <w:szCs w:val="18"/>
              </w:rPr>
            </w:pPr>
          </w:p>
        </w:tc>
        <w:tc>
          <w:tcPr>
            <w:tcW w:w="2025" w:type="dxa"/>
            <w:tcBorders>
              <w:tl2br w:val="nil"/>
              <w:tr2bl w:val="nil"/>
            </w:tcBorders>
            <w:shd w:val="clear" w:color="auto" w:fill="auto"/>
            <w:tcMar>
              <w:top w:w="40" w:type="dxa"/>
              <w:left w:w="40" w:type="dxa"/>
              <w:bottom w:w="40" w:type="dxa"/>
              <w:right w:w="40" w:type="dxa"/>
            </w:tcMar>
            <w:vAlign w:val="center"/>
          </w:tcPr>
          <w:p>
            <w:pPr>
              <w:rPr>
                <w:rFonts w:ascii="Times New Roman" w:hAnsi="Times New Roman"/>
                <w:sz w:val="18"/>
                <w:szCs w:val="18"/>
              </w:rPr>
            </w:pPr>
            <w:r>
              <w:rPr>
                <w:rFonts w:ascii="Times New Roman" w:hAnsi="Times New Roman"/>
                <w:sz w:val="18"/>
                <w:szCs w:val="18"/>
              </w:rPr>
              <w:t>03电气装备智能控制</w:t>
            </w:r>
          </w:p>
        </w:tc>
        <w:tc>
          <w:tcPr>
            <w:tcW w:w="1080" w:type="dxa"/>
            <w:tcBorders>
              <w:tl2br w:val="nil"/>
              <w:tr2bl w:val="nil"/>
            </w:tcBorders>
            <w:shd w:val="clear" w:color="auto" w:fill="auto"/>
            <w:tcMar>
              <w:top w:w="40" w:type="dxa"/>
              <w:left w:w="40" w:type="dxa"/>
              <w:bottom w:w="40" w:type="dxa"/>
              <w:right w:w="40" w:type="dxa"/>
            </w:tcMar>
            <w:vAlign w:val="center"/>
          </w:tcPr>
          <w:p>
            <w:pPr>
              <w:jc w:val="center"/>
              <w:rPr>
                <w:rFonts w:ascii="Times New Roman" w:hAnsi="Times New Roman"/>
                <w:sz w:val="18"/>
                <w:szCs w:val="18"/>
              </w:rPr>
            </w:pPr>
            <w:r>
              <w:rPr>
                <w:rFonts w:ascii="Times New Roman" w:hAnsi="Times New Roman"/>
                <w:sz w:val="18"/>
                <w:szCs w:val="18"/>
              </w:rPr>
              <w:t>(1)全日制</w:t>
            </w:r>
          </w:p>
        </w:tc>
        <w:tc>
          <w:tcPr>
            <w:tcW w:w="615" w:type="dxa"/>
            <w:vMerge w:val="continue"/>
            <w:tcBorders>
              <w:tl2br w:val="nil"/>
              <w:tr2bl w:val="nil"/>
            </w:tcBorders>
            <w:shd w:val="clear" w:color="auto" w:fill="auto"/>
            <w:tcMar>
              <w:top w:w="40" w:type="dxa"/>
              <w:left w:w="40" w:type="dxa"/>
              <w:bottom w:w="40" w:type="dxa"/>
              <w:right w:w="40" w:type="dxa"/>
            </w:tcMar>
            <w:vAlign w:val="center"/>
          </w:tcPr>
          <w:p>
            <w:pPr>
              <w:jc w:val="center"/>
              <w:rPr>
                <w:rFonts w:ascii="Times New Roman" w:hAnsi="Times New Roman"/>
                <w:sz w:val="18"/>
                <w:szCs w:val="18"/>
              </w:rPr>
            </w:pPr>
          </w:p>
        </w:tc>
        <w:tc>
          <w:tcPr>
            <w:tcW w:w="2040" w:type="dxa"/>
            <w:vMerge w:val="continue"/>
            <w:tcBorders>
              <w:tl2br w:val="nil"/>
              <w:tr2bl w:val="nil"/>
            </w:tcBorders>
            <w:shd w:val="clear" w:color="auto" w:fill="auto"/>
            <w:tcMar>
              <w:top w:w="40" w:type="dxa"/>
              <w:left w:w="40" w:type="dxa"/>
              <w:bottom w:w="40" w:type="dxa"/>
              <w:right w:w="40" w:type="dxa"/>
            </w:tcMar>
            <w:vAlign w:val="center"/>
          </w:tcPr>
          <w:p>
            <w:pP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866" w:type="dxa"/>
            <w:vMerge w:val="continue"/>
            <w:tcBorders>
              <w:tl2br w:val="nil"/>
              <w:tr2bl w:val="nil"/>
            </w:tcBorders>
            <w:shd w:val="clear" w:color="auto" w:fill="auto"/>
            <w:tcMar>
              <w:top w:w="40" w:type="dxa"/>
              <w:left w:w="40" w:type="dxa"/>
              <w:bottom w:w="40" w:type="dxa"/>
              <w:right w:w="40" w:type="dxa"/>
            </w:tcMar>
            <w:vAlign w:val="center"/>
          </w:tcPr>
          <w:p>
            <w:pPr>
              <w:jc w:val="center"/>
              <w:rPr>
                <w:rFonts w:ascii="Times New Roman" w:hAnsi="Times New Roman"/>
                <w:sz w:val="18"/>
                <w:szCs w:val="18"/>
              </w:rPr>
            </w:pPr>
          </w:p>
        </w:tc>
        <w:tc>
          <w:tcPr>
            <w:tcW w:w="1927" w:type="dxa"/>
            <w:vMerge w:val="restart"/>
            <w:tcBorders>
              <w:tl2br w:val="nil"/>
              <w:tr2bl w:val="nil"/>
            </w:tcBorders>
            <w:shd w:val="clear" w:color="auto" w:fill="auto"/>
            <w:tcMar>
              <w:top w:w="40" w:type="dxa"/>
              <w:left w:w="40" w:type="dxa"/>
              <w:bottom w:w="40" w:type="dxa"/>
              <w:right w:w="40" w:type="dxa"/>
            </w:tcMar>
            <w:vAlign w:val="center"/>
          </w:tcPr>
          <w:p>
            <w:pPr>
              <w:jc w:val="center"/>
              <w:rPr>
                <w:rFonts w:ascii="Times New Roman" w:hAnsi="Times New Roman"/>
                <w:sz w:val="18"/>
                <w:szCs w:val="18"/>
              </w:rPr>
            </w:pPr>
            <w:r>
              <w:rPr>
                <w:rFonts w:ascii="Times New Roman" w:hAnsi="Times New Roman"/>
                <w:sz w:val="18"/>
                <w:szCs w:val="18"/>
              </w:rPr>
              <w:t xml:space="preserve">085801 </w:t>
            </w:r>
          </w:p>
          <w:p>
            <w:pPr>
              <w:jc w:val="center"/>
              <w:rPr>
                <w:rFonts w:ascii="Times New Roman" w:hAnsi="Times New Roman"/>
                <w:sz w:val="18"/>
                <w:szCs w:val="18"/>
              </w:rPr>
            </w:pPr>
            <w:r>
              <w:rPr>
                <w:rFonts w:ascii="Times New Roman" w:hAnsi="Times New Roman"/>
                <w:sz w:val="18"/>
                <w:szCs w:val="18"/>
              </w:rPr>
              <w:t>能源动力—电气工程</w:t>
            </w:r>
          </w:p>
          <w:p>
            <w:pPr>
              <w:jc w:val="center"/>
              <w:rPr>
                <w:rFonts w:ascii="Times New Roman" w:hAnsi="Times New Roman"/>
                <w:sz w:val="18"/>
                <w:szCs w:val="18"/>
              </w:rPr>
            </w:pPr>
            <w:r>
              <w:rPr>
                <w:rFonts w:ascii="Times New Roman" w:hAnsi="Times New Roman"/>
                <w:sz w:val="18"/>
                <w:szCs w:val="18"/>
              </w:rPr>
              <w:t>（专业学位）</w:t>
            </w:r>
          </w:p>
        </w:tc>
        <w:tc>
          <w:tcPr>
            <w:tcW w:w="2025" w:type="dxa"/>
            <w:tcBorders>
              <w:tl2br w:val="nil"/>
              <w:tr2bl w:val="nil"/>
            </w:tcBorders>
            <w:shd w:val="clear" w:color="auto" w:fill="auto"/>
            <w:tcMar>
              <w:top w:w="40" w:type="dxa"/>
              <w:left w:w="40" w:type="dxa"/>
              <w:bottom w:w="40" w:type="dxa"/>
              <w:right w:w="40" w:type="dxa"/>
            </w:tcMar>
            <w:vAlign w:val="center"/>
          </w:tcPr>
          <w:p>
            <w:pPr>
              <w:rPr>
                <w:rFonts w:ascii="Times New Roman" w:hAnsi="Times New Roman"/>
                <w:sz w:val="18"/>
                <w:szCs w:val="18"/>
              </w:rPr>
            </w:pPr>
            <w:r>
              <w:rPr>
                <w:rFonts w:ascii="Times New Roman" w:hAnsi="Times New Roman"/>
                <w:sz w:val="18"/>
                <w:szCs w:val="18"/>
              </w:rPr>
              <w:t>01电气工程</w:t>
            </w:r>
          </w:p>
        </w:tc>
        <w:tc>
          <w:tcPr>
            <w:tcW w:w="1080" w:type="dxa"/>
            <w:tcBorders>
              <w:tl2br w:val="nil"/>
              <w:tr2bl w:val="nil"/>
            </w:tcBorders>
            <w:shd w:val="clear" w:color="auto" w:fill="auto"/>
            <w:tcMar>
              <w:top w:w="40" w:type="dxa"/>
              <w:left w:w="40" w:type="dxa"/>
              <w:bottom w:w="40" w:type="dxa"/>
              <w:right w:w="40" w:type="dxa"/>
            </w:tcMar>
            <w:vAlign w:val="center"/>
          </w:tcPr>
          <w:p>
            <w:pPr>
              <w:jc w:val="center"/>
              <w:rPr>
                <w:rFonts w:ascii="Times New Roman" w:hAnsi="Times New Roman"/>
                <w:sz w:val="18"/>
                <w:szCs w:val="18"/>
              </w:rPr>
            </w:pPr>
            <w:r>
              <w:rPr>
                <w:rFonts w:ascii="Times New Roman" w:hAnsi="Times New Roman"/>
                <w:sz w:val="18"/>
                <w:szCs w:val="18"/>
              </w:rPr>
              <w:t>(1)全日制</w:t>
            </w:r>
          </w:p>
        </w:tc>
        <w:tc>
          <w:tcPr>
            <w:tcW w:w="615" w:type="dxa"/>
            <w:tcBorders>
              <w:tl2br w:val="nil"/>
              <w:tr2bl w:val="nil"/>
            </w:tcBorders>
            <w:shd w:val="clear" w:color="auto" w:fill="auto"/>
            <w:tcMar>
              <w:top w:w="40" w:type="dxa"/>
              <w:left w:w="40" w:type="dxa"/>
              <w:bottom w:w="40" w:type="dxa"/>
              <w:right w:w="40" w:type="dxa"/>
            </w:tcMar>
            <w:vAlign w:val="center"/>
          </w:tcPr>
          <w:p>
            <w:pPr>
              <w:jc w:val="center"/>
              <w:rPr>
                <w:rFonts w:ascii="Times New Roman" w:hAnsi="Times New Roman"/>
                <w:sz w:val="18"/>
                <w:szCs w:val="18"/>
              </w:rPr>
            </w:pPr>
            <w:r>
              <w:rPr>
                <w:rFonts w:ascii="Times New Roman" w:hAnsi="Times New Roman"/>
                <w:sz w:val="18"/>
                <w:szCs w:val="18"/>
              </w:rPr>
              <w:t>3</w:t>
            </w:r>
          </w:p>
        </w:tc>
        <w:tc>
          <w:tcPr>
            <w:tcW w:w="2040" w:type="dxa"/>
            <w:vMerge w:val="restart"/>
            <w:tcBorders>
              <w:tl2br w:val="nil"/>
              <w:tr2bl w:val="nil"/>
            </w:tcBorders>
            <w:shd w:val="clear" w:color="auto" w:fill="auto"/>
            <w:tcMar>
              <w:top w:w="40" w:type="dxa"/>
              <w:left w:w="40" w:type="dxa"/>
              <w:bottom w:w="40" w:type="dxa"/>
              <w:right w:w="40" w:type="dxa"/>
            </w:tcMar>
            <w:vAlign w:val="center"/>
          </w:tcPr>
          <w:p>
            <w:pPr>
              <w:rPr>
                <w:rFonts w:ascii="Times New Roman" w:hAnsi="Times New Roman"/>
                <w:sz w:val="18"/>
                <w:szCs w:val="18"/>
              </w:rPr>
            </w:pPr>
            <w:r>
              <w:rPr>
                <w:rFonts w:hint="eastAsia" w:ascii="宋体" w:hAnsi="宋体" w:cs="宋体"/>
                <w:sz w:val="18"/>
                <w:szCs w:val="18"/>
              </w:rPr>
              <w:t>①</w:t>
            </w:r>
            <w:r>
              <w:rPr>
                <w:rFonts w:ascii="Times New Roman" w:hAnsi="Times New Roman"/>
                <w:sz w:val="18"/>
                <w:szCs w:val="18"/>
              </w:rPr>
              <w:t>101思想政治理论</w:t>
            </w:r>
            <w:r>
              <w:rPr>
                <w:rFonts w:hint="eastAsia" w:ascii="宋体" w:hAnsi="宋体" w:cs="宋体"/>
                <w:sz w:val="18"/>
                <w:szCs w:val="18"/>
              </w:rPr>
              <w:t>②</w:t>
            </w:r>
            <w:r>
              <w:rPr>
                <w:rFonts w:ascii="Times New Roman" w:hAnsi="Times New Roman"/>
                <w:sz w:val="18"/>
                <w:szCs w:val="18"/>
              </w:rPr>
              <w:t>204英语（二）</w:t>
            </w:r>
            <w:r>
              <w:rPr>
                <w:rFonts w:hint="eastAsia" w:ascii="宋体" w:hAnsi="宋体" w:cs="宋体"/>
                <w:sz w:val="18"/>
                <w:szCs w:val="18"/>
              </w:rPr>
              <w:t>③</w:t>
            </w:r>
            <w:r>
              <w:rPr>
                <w:rFonts w:ascii="Times New Roman" w:hAnsi="Times New Roman"/>
                <w:sz w:val="18"/>
                <w:szCs w:val="18"/>
              </w:rPr>
              <w:t>302数学（二）</w:t>
            </w:r>
            <w:r>
              <w:rPr>
                <w:rFonts w:hint="eastAsia" w:ascii="宋体" w:hAnsi="宋体" w:cs="宋体"/>
                <w:sz w:val="18"/>
                <w:szCs w:val="18"/>
              </w:rPr>
              <w:t>④</w:t>
            </w:r>
            <w:r>
              <w:rPr>
                <w:rFonts w:ascii="Times New Roman" w:hAnsi="Times New Roman"/>
                <w:sz w:val="18"/>
                <w:szCs w:val="18"/>
              </w:rPr>
              <w:t>849电路理论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866" w:type="dxa"/>
            <w:vMerge w:val="continue"/>
            <w:tcBorders>
              <w:tl2br w:val="nil"/>
              <w:tr2bl w:val="nil"/>
            </w:tcBorders>
            <w:shd w:val="clear" w:color="auto" w:fill="auto"/>
            <w:tcMar>
              <w:top w:w="40" w:type="dxa"/>
              <w:left w:w="40" w:type="dxa"/>
              <w:bottom w:w="40" w:type="dxa"/>
              <w:right w:w="40" w:type="dxa"/>
            </w:tcMar>
            <w:vAlign w:val="center"/>
          </w:tcPr>
          <w:p>
            <w:pPr>
              <w:jc w:val="center"/>
              <w:rPr>
                <w:rFonts w:ascii="Times New Roman" w:hAnsi="Times New Roman"/>
              </w:rPr>
            </w:pPr>
          </w:p>
        </w:tc>
        <w:tc>
          <w:tcPr>
            <w:tcW w:w="1927" w:type="dxa"/>
            <w:vMerge w:val="continue"/>
            <w:tcBorders>
              <w:tl2br w:val="nil"/>
              <w:tr2bl w:val="nil"/>
            </w:tcBorders>
            <w:shd w:val="clear" w:color="auto" w:fill="auto"/>
            <w:tcMar>
              <w:top w:w="40" w:type="dxa"/>
              <w:left w:w="40" w:type="dxa"/>
              <w:bottom w:w="40" w:type="dxa"/>
              <w:right w:w="40" w:type="dxa"/>
            </w:tcMar>
            <w:vAlign w:val="center"/>
          </w:tcPr>
          <w:p>
            <w:pPr>
              <w:jc w:val="center"/>
              <w:rPr>
                <w:rFonts w:ascii="Times New Roman" w:hAnsi="Times New Roman"/>
              </w:rPr>
            </w:pPr>
          </w:p>
        </w:tc>
        <w:tc>
          <w:tcPr>
            <w:tcW w:w="2025" w:type="dxa"/>
            <w:tcBorders>
              <w:tl2br w:val="nil"/>
              <w:tr2bl w:val="nil"/>
            </w:tcBorders>
            <w:shd w:val="clear" w:color="auto" w:fill="auto"/>
            <w:tcMar>
              <w:top w:w="40" w:type="dxa"/>
              <w:left w:w="40" w:type="dxa"/>
              <w:bottom w:w="40" w:type="dxa"/>
              <w:right w:w="40" w:type="dxa"/>
            </w:tcMar>
            <w:vAlign w:val="center"/>
          </w:tcPr>
          <w:p>
            <w:pPr>
              <w:rPr>
                <w:rFonts w:ascii="Times New Roman" w:hAnsi="Times New Roman"/>
                <w:sz w:val="18"/>
                <w:szCs w:val="18"/>
              </w:rPr>
            </w:pPr>
            <w:r>
              <w:rPr>
                <w:rFonts w:ascii="Times New Roman" w:hAnsi="Times New Roman"/>
                <w:sz w:val="18"/>
                <w:szCs w:val="18"/>
              </w:rPr>
              <w:t>01电气工程</w:t>
            </w:r>
          </w:p>
        </w:tc>
        <w:tc>
          <w:tcPr>
            <w:tcW w:w="1080" w:type="dxa"/>
            <w:tcBorders>
              <w:tl2br w:val="nil"/>
              <w:tr2bl w:val="nil"/>
            </w:tcBorders>
            <w:shd w:val="clear" w:color="auto" w:fill="auto"/>
            <w:tcMar>
              <w:top w:w="40" w:type="dxa"/>
              <w:left w:w="40" w:type="dxa"/>
              <w:bottom w:w="40" w:type="dxa"/>
              <w:right w:w="40" w:type="dxa"/>
            </w:tcMar>
            <w:vAlign w:val="center"/>
          </w:tcPr>
          <w:p>
            <w:pPr>
              <w:jc w:val="center"/>
              <w:rPr>
                <w:rFonts w:ascii="Times New Roman" w:hAnsi="Times New Roman"/>
                <w:sz w:val="18"/>
                <w:szCs w:val="18"/>
              </w:rPr>
            </w:pPr>
            <w:r>
              <w:rPr>
                <w:rFonts w:ascii="Times New Roman" w:hAnsi="Times New Roman"/>
                <w:sz w:val="18"/>
                <w:szCs w:val="18"/>
              </w:rPr>
              <w:t>(2)非全日制</w:t>
            </w:r>
          </w:p>
        </w:tc>
        <w:tc>
          <w:tcPr>
            <w:tcW w:w="615" w:type="dxa"/>
            <w:tcBorders>
              <w:tl2br w:val="nil"/>
              <w:tr2bl w:val="nil"/>
            </w:tcBorders>
            <w:shd w:val="clear" w:color="auto" w:fill="auto"/>
            <w:tcMar>
              <w:top w:w="40" w:type="dxa"/>
              <w:left w:w="40" w:type="dxa"/>
              <w:bottom w:w="40" w:type="dxa"/>
              <w:right w:w="40" w:type="dxa"/>
            </w:tcMar>
            <w:vAlign w:val="center"/>
          </w:tcPr>
          <w:p>
            <w:pPr>
              <w:jc w:val="center"/>
              <w:rPr>
                <w:rFonts w:ascii="Times New Roman" w:hAnsi="Times New Roman"/>
                <w:sz w:val="18"/>
                <w:szCs w:val="18"/>
              </w:rPr>
            </w:pPr>
            <w:r>
              <w:rPr>
                <w:rFonts w:ascii="Times New Roman" w:hAnsi="Times New Roman"/>
                <w:sz w:val="18"/>
                <w:szCs w:val="18"/>
              </w:rPr>
              <w:t>3</w:t>
            </w:r>
          </w:p>
        </w:tc>
        <w:tc>
          <w:tcPr>
            <w:tcW w:w="2040" w:type="dxa"/>
            <w:vMerge w:val="continue"/>
            <w:tcBorders>
              <w:tl2br w:val="nil"/>
              <w:tr2bl w:val="nil"/>
            </w:tcBorders>
            <w:shd w:val="clear" w:color="auto" w:fill="auto"/>
            <w:tcMar>
              <w:top w:w="40" w:type="dxa"/>
              <w:left w:w="40" w:type="dxa"/>
              <w:bottom w:w="40" w:type="dxa"/>
              <w:right w:w="40" w:type="dxa"/>
            </w:tcMar>
            <w:vAlign w:val="center"/>
          </w:tcPr>
          <w:p>
            <w:pPr>
              <w:jc w:val="center"/>
              <w:rPr>
                <w:rFonts w:ascii="Times New Roman" w:hAnsi="Times New Roman"/>
                <w:sz w:val="18"/>
                <w:szCs w:val="18"/>
              </w:rPr>
            </w:pPr>
          </w:p>
        </w:tc>
      </w:tr>
    </w:tbl>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二、申请资格</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对从事学科学术研究有浓厚兴趣，具有一定创新力和潜能的2023届应届本科生。</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三、申请流程</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8月21日前填写申请表发送至</w:t>
      </w:r>
      <w:r>
        <w:rPr>
          <w:rFonts w:hint="eastAsia" w:ascii="Times New Roman" w:hAnsi="Times New Roman" w:eastAsia="仿宋_GB2312"/>
          <w:b/>
          <w:bCs/>
          <w:sz w:val="28"/>
          <w:szCs w:val="28"/>
          <w:u w:val="single"/>
        </w:rPr>
        <w:t>927413287@qq.com</w:t>
      </w:r>
      <w:r>
        <w:rPr>
          <w:rFonts w:ascii="Times New Roman" w:hAnsi="Times New Roman" w:eastAsia="仿宋_GB2312"/>
          <w:sz w:val="28"/>
          <w:szCs w:val="28"/>
        </w:rPr>
        <w:t>。</w:t>
      </w:r>
      <w:r>
        <w:rPr>
          <w:rFonts w:ascii="Times New Roman" w:hAnsi="Times New Roman" w:eastAsia="仿宋_GB2312"/>
          <w:sz w:val="28"/>
          <w:szCs w:val="28"/>
          <w:lang w:eastAsia="zh-Hans"/>
        </w:rPr>
        <w:t>8</w:t>
      </w:r>
      <w:r>
        <w:rPr>
          <w:rFonts w:ascii="Times New Roman" w:hAnsi="Times New Roman" w:eastAsia="仿宋_GB2312"/>
          <w:sz w:val="28"/>
          <w:szCs w:val="28"/>
        </w:rPr>
        <w:t>月</w:t>
      </w:r>
      <w:r>
        <w:rPr>
          <w:rFonts w:ascii="Times New Roman" w:hAnsi="Times New Roman" w:eastAsia="仿宋_GB2312"/>
          <w:sz w:val="28"/>
          <w:szCs w:val="28"/>
          <w:lang w:eastAsia="zh-Hans"/>
        </w:rPr>
        <w:t>26</w:t>
      </w:r>
      <w:r>
        <w:rPr>
          <w:rFonts w:ascii="Times New Roman" w:hAnsi="Times New Roman" w:eastAsia="仿宋_GB2312"/>
          <w:sz w:val="28"/>
          <w:szCs w:val="28"/>
        </w:rPr>
        <w:t>日收到确认邮件后即为报名成</w:t>
      </w:r>
      <w:bookmarkStart w:id="0" w:name="_GoBack"/>
      <w:bookmarkEnd w:id="0"/>
      <w:r>
        <w:rPr>
          <w:rFonts w:ascii="Times New Roman" w:hAnsi="Times New Roman" w:eastAsia="仿宋_GB2312"/>
          <w:sz w:val="28"/>
          <w:szCs w:val="28"/>
        </w:rPr>
        <w:t>功。</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请如实、认真、仔细填写申请表，如有虚假将取消入选资格并承担相应责任。</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四、活动安排</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开营具体时间由学院邮件通知，活动时间为半天，接待60人左右，具体活动内容如下：</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1.学院情况、招生情况介绍；</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2.优秀校友读研感悟分享、联谊座谈；</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3.参观实验室；</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4.对营员进行适当形式的考核（依照我校相关工作流程），考核合格的颁发合格证。</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五、优惠政策</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w:t>
      </w:r>
      <w:r>
        <w:rPr>
          <w:rFonts w:ascii="Times New Roman" w:hAnsi="Times New Roman"/>
        </w:rPr>
        <w:t xml:space="preserve"> </w:t>
      </w:r>
      <w:r>
        <w:rPr>
          <w:rFonts w:ascii="Times New Roman" w:hAnsi="Times New Roman" w:eastAsia="仿宋_GB2312"/>
          <w:sz w:val="28"/>
          <w:szCs w:val="28"/>
        </w:rPr>
        <w:t>合格营员如获得所在学校的研究生推荐免试资格，并按学校规定时间内通过教育部“全国推荐优秀应届本科毕业生免试攻读研究生信息公开暨管理服务系统”（网址:http://yz.chsi.com.cn/tm)，完成所有规定流程后，可直接拟录取。</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 合格营员报考我校2023级硕士学位研究生，考试成绩达到我校的相应学科门类复试基本分数线（即学校线，含总分、单科分数）后，可直接参加复试，不受学院分数线限制，表现优异者可优先拟录取。</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六、其他</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本次活动食宿自理，营员须满足疫情防控要求，申请时需要出示疫苗接种证明。</w:t>
      </w:r>
    </w:p>
    <w:p>
      <w:pPr>
        <w:widowControl/>
        <w:jc w:val="left"/>
        <w:rPr>
          <w:rFonts w:ascii="Times New Roman" w:hAnsi="Times New Roman"/>
        </w:rPr>
      </w:pPr>
    </w:p>
    <w:p>
      <w:pPr>
        <w:widowControl/>
        <w:jc w:val="left"/>
        <w:rPr>
          <w:rFonts w:ascii="Times New Roman" w:hAnsi="Times New Roman"/>
        </w:rPr>
      </w:pPr>
    </w:p>
    <w:p>
      <w:pPr>
        <w:widowControl/>
        <w:jc w:val="left"/>
        <w:rPr>
          <w:rFonts w:ascii="Times New Roman" w:hAnsi="Times New Roman"/>
        </w:rPr>
      </w:pPr>
    </w:p>
    <w:p>
      <w:pPr>
        <w:jc w:val="center"/>
        <w:rPr>
          <w:rFonts w:ascii="Times New Roman" w:hAnsi="Times New Roman"/>
          <w:sz w:val="28"/>
        </w:rPr>
      </w:pPr>
      <w:r>
        <w:rPr>
          <w:rFonts w:ascii="Times New Roman" w:hAnsi="Times New Roman"/>
          <w:sz w:val="28"/>
        </w:rPr>
        <w:t>天津工业大学</w:t>
      </w:r>
      <w:r>
        <w:rPr>
          <w:rFonts w:ascii="Times New Roman" w:hAnsi="Times New Roman"/>
          <w:sz w:val="28"/>
          <w:lang w:eastAsia="zh-Hans"/>
        </w:rPr>
        <w:t>电气</w:t>
      </w:r>
      <w:r>
        <w:rPr>
          <w:rFonts w:ascii="Times New Roman" w:hAnsi="Times New Roman"/>
          <w:sz w:val="28"/>
        </w:rPr>
        <w:t>工程学院</w:t>
      </w:r>
    </w:p>
    <w:p>
      <w:pPr>
        <w:jc w:val="center"/>
        <w:rPr>
          <w:rFonts w:ascii="Times New Roman" w:hAnsi="Times New Roman"/>
          <w:sz w:val="28"/>
        </w:rPr>
      </w:pPr>
      <w:r>
        <w:rPr>
          <w:rFonts w:ascii="Times New Roman" w:hAnsi="Times New Roman"/>
          <w:sz w:val="28"/>
        </w:rPr>
        <w:t>2023级研究生招生夏令营报名表</w:t>
      </w:r>
    </w:p>
    <w:p>
      <w:pPr>
        <w:rPr>
          <w:rFonts w:ascii="Times New Roman" w:hAnsi="Times New Roma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984"/>
        <w:gridCol w:w="2268"/>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2" w:type="dxa"/>
            <w:vAlign w:val="center"/>
          </w:tcPr>
          <w:p>
            <w:pPr>
              <w:rPr>
                <w:rFonts w:ascii="Times New Roman" w:hAnsi="Times New Roman"/>
                <w:sz w:val="24"/>
              </w:rPr>
            </w:pPr>
            <w:r>
              <w:rPr>
                <w:rFonts w:ascii="Times New Roman" w:hAnsi="Times New Roman"/>
                <w:sz w:val="24"/>
              </w:rPr>
              <w:t>姓名</w:t>
            </w:r>
          </w:p>
        </w:tc>
        <w:tc>
          <w:tcPr>
            <w:tcW w:w="1984" w:type="dxa"/>
            <w:vAlign w:val="center"/>
          </w:tcPr>
          <w:p>
            <w:pPr>
              <w:rPr>
                <w:rFonts w:ascii="Times New Roman" w:hAnsi="Times New Roman"/>
                <w:sz w:val="24"/>
              </w:rPr>
            </w:pPr>
          </w:p>
        </w:tc>
        <w:tc>
          <w:tcPr>
            <w:tcW w:w="2268" w:type="dxa"/>
            <w:vAlign w:val="center"/>
          </w:tcPr>
          <w:p>
            <w:pPr>
              <w:rPr>
                <w:rFonts w:ascii="Times New Roman" w:hAnsi="Times New Roman"/>
                <w:sz w:val="24"/>
              </w:rPr>
            </w:pPr>
            <w:r>
              <w:rPr>
                <w:rFonts w:ascii="Times New Roman" w:hAnsi="Times New Roman"/>
                <w:sz w:val="24"/>
              </w:rPr>
              <w:t>性别</w:t>
            </w:r>
          </w:p>
        </w:tc>
        <w:tc>
          <w:tcPr>
            <w:tcW w:w="1922" w:type="dxa"/>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2" w:type="dxa"/>
            <w:vAlign w:val="center"/>
          </w:tcPr>
          <w:p>
            <w:pPr>
              <w:rPr>
                <w:rFonts w:ascii="Times New Roman" w:hAnsi="Times New Roman"/>
                <w:sz w:val="24"/>
              </w:rPr>
            </w:pPr>
            <w:r>
              <w:rPr>
                <w:rFonts w:ascii="Times New Roman" w:hAnsi="Times New Roman"/>
                <w:sz w:val="24"/>
              </w:rPr>
              <w:t>就读院校</w:t>
            </w:r>
          </w:p>
        </w:tc>
        <w:tc>
          <w:tcPr>
            <w:tcW w:w="1984" w:type="dxa"/>
            <w:vAlign w:val="center"/>
          </w:tcPr>
          <w:p>
            <w:pPr>
              <w:rPr>
                <w:rFonts w:ascii="Times New Roman" w:hAnsi="Times New Roman"/>
                <w:sz w:val="24"/>
              </w:rPr>
            </w:pPr>
          </w:p>
        </w:tc>
        <w:tc>
          <w:tcPr>
            <w:tcW w:w="2268" w:type="dxa"/>
            <w:vAlign w:val="center"/>
          </w:tcPr>
          <w:p>
            <w:pPr>
              <w:rPr>
                <w:rFonts w:ascii="Times New Roman" w:hAnsi="Times New Roman"/>
                <w:sz w:val="24"/>
              </w:rPr>
            </w:pPr>
            <w:r>
              <w:rPr>
                <w:rFonts w:ascii="Times New Roman" w:hAnsi="Times New Roman"/>
                <w:sz w:val="24"/>
              </w:rPr>
              <w:t>出生年月</w:t>
            </w:r>
          </w:p>
        </w:tc>
        <w:tc>
          <w:tcPr>
            <w:tcW w:w="1922" w:type="dxa"/>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122" w:type="dxa"/>
            <w:vAlign w:val="center"/>
          </w:tcPr>
          <w:p>
            <w:pPr>
              <w:rPr>
                <w:rFonts w:ascii="Times New Roman" w:hAnsi="Times New Roman"/>
                <w:sz w:val="24"/>
              </w:rPr>
            </w:pPr>
            <w:r>
              <w:rPr>
                <w:rFonts w:ascii="Times New Roman" w:hAnsi="Times New Roman"/>
                <w:sz w:val="24"/>
              </w:rPr>
              <w:t>预计报名专业</w:t>
            </w:r>
          </w:p>
        </w:tc>
        <w:tc>
          <w:tcPr>
            <w:tcW w:w="1984" w:type="dxa"/>
            <w:vAlign w:val="center"/>
          </w:tcPr>
          <w:p>
            <w:pPr>
              <w:rPr>
                <w:rFonts w:ascii="Times New Roman" w:hAnsi="Times New Roman"/>
                <w:sz w:val="24"/>
              </w:rPr>
            </w:pPr>
          </w:p>
        </w:tc>
        <w:tc>
          <w:tcPr>
            <w:tcW w:w="2268" w:type="dxa"/>
            <w:vAlign w:val="center"/>
          </w:tcPr>
          <w:p>
            <w:pPr>
              <w:rPr>
                <w:rFonts w:ascii="Times New Roman" w:hAnsi="Times New Roman"/>
                <w:sz w:val="24"/>
              </w:rPr>
            </w:pPr>
            <w:r>
              <w:rPr>
                <w:rFonts w:ascii="Times New Roman" w:hAnsi="Times New Roman"/>
                <w:sz w:val="24"/>
              </w:rPr>
              <w:t>预计报名研究方向</w:t>
            </w:r>
          </w:p>
        </w:tc>
        <w:tc>
          <w:tcPr>
            <w:tcW w:w="1922" w:type="dxa"/>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2" w:type="dxa"/>
            <w:vAlign w:val="center"/>
          </w:tcPr>
          <w:p>
            <w:pPr>
              <w:rPr>
                <w:rFonts w:ascii="Times New Roman" w:hAnsi="Times New Roman"/>
                <w:sz w:val="24"/>
              </w:rPr>
            </w:pPr>
            <w:r>
              <w:rPr>
                <w:rFonts w:ascii="Times New Roman" w:hAnsi="Times New Roman"/>
                <w:sz w:val="24"/>
              </w:rPr>
              <w:t>学习成绩排名</w:t>
            </w:r>
          </w:p>
        </w:tc>
        <w:tc>
          <w:tcPr>
            <w:tcW w:w="1984" w:type="dxa"/>
            <w:vAlign w:val="center"/>
          </w:tcPr>
          <w:p>
            <w:pPr>
              <w:rPr>
                <w:rFonts w:ascii="Times New Roman" w:hAnsi="Times New Roman"/>
                <w:sz w:val="24"/>
              </w:rPr>
            </w:pPr>
          </w:p>
        </w:tc>
        <w:tc>
          <w:tcPr>
            <w:tcW w:w="2268" w:type="dxa"/>
            <w:vAlign w:val="center"/>
          </w:tcPr>
          <w:p>
            <w:pPr>
              <w:rPr>
                <w:rFonts w:ascii="Times New Roman" w:hAnsi="Times New Roman"/>
                <w:sz w:val="24"/>
              </w:rPr>
            </w:pPr>
            <w:r>
              <w:rPr>
                <w:rFonts w:ascii="Times New Roman" w:hAnsi="Times New Roman"/>
                <w:sz w:val="24"/>
              </w:rPr>
              <w:t>所学专业</w:t>
            </w:r>
          </w:p>
        </w:tc>
        <w:tc>
          <w:tcPr>
            <w:tcW w:w="1922" w:type="dxa"/>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2" w:type="dxa"/>
            <w:vAlign w:val="center"/>
          </w:tcPr>
          <w:p>
            <w:pPr>
              <w:rPr>
                <w:rFonts w:ascii="Times New Roman" w:hAnsi="Times New Roman"/>
                <w:sz w:val="24"/>
              </w:rPr>
            </w:pPr>
            <w:r>
              <w:rPr>
                <w:rFonts w:ascii="Times New Roman" w:hAnsi="Times New Roman"/>
                <w:sz w:val="24"/>
              </w:rPr>
              <w:t>英语四级成绩</w:t>
            </w:r>
          </w:p>
        </w:tc>
        <w:tc>
          <w:tcPr>
            <w:tcW w:w="1984" w:type="dxa"/>
            <w:vAlign w:val="center"/>
          </w:tcPr>
          <w:p>
            <w:pPr>
              <w:rPr>
                <w:rFonts w:ascii="Times New Roman" w:hAnsi="Times New Roman"/>
                <w:sz w:val="24"/>
              </w:rPr>
            </w:pPr>
          </w:p>
        </w:tc>
        <w:tc>
          <w:tcPr>
            <w:tcW w:w="2268" w:type="dxa"/>
            <w:vAlign w:val="center"/>
          </w:tcPr>
          <w:p>
            <w:pPr>
              <w:rPr>
                <w:rFonts w:ascii="Times New Roman" w:hAnsi="Times New Roman"/>
                <w:sz w:val="24"/>
              </w:rPr>
            </w:pPr>
            <w:r>
              <w:rPr>
                <w:rFonts w:ascii="Times New Roman" w:hAnsi="Times New Roman"/>
                <w:sz w:val="24"/>
              </w:rPr>
              <w:t>英语六级成绩</w:t>
            </w:r>
          </w:p>
        </w:tc>
        <w:tc>
          <w:tcPr>
            <w:tcW w:w="1922" w:type="dxa"/>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6" w:type="dxa"/>
            <w:gridSpan w:val="4"/>
            <w:vAlign w:val="center"/>
          </w:tcPr>
          <w:p>
            <w:pPr>
              <w:rPr>
                <w:rFonts w:ascii="Times New Roman" w:hAnsi="Times New Roman"/>
                <w:sz w:val="24"/>
              </w:rPr>
            </w:pPr>
            <w:r>
              <w:rPr>
                <w:rFonts w:ascii="Times New Roman" w:hAnsi="Times New Roman"/>
                <w:sz w:val="24"/>
              </w:rPr>
              <w:t>获奖情况：</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6" w:type="dxa"/>
            <w:gridSpan w:val="4"/>
            <w:vAlign w:val="center"/>
          </w:tcPr>
          <w:p>
            <w:pPr>
              <w:rPr>
                <w:rFonts w:ascii="Times New Roman" w:hAnsi="Times New Roman"/>
                <w:sz w:val="24"/>
              </w:rPr>
            </w:pPr>
            <w:r>
              <w:rPr>
                <w:rFonts w:ascii="Times New Roman" w:hAnsi="Times New Roman"/>
                <w:sz w:val="24"/>
              </w:rPr>
              <w:t>个人简介：</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2" w:type="dxa"/>
            <w:vAlign w:val="center"/>
          </w:tcPr>
          <w:p>
            <w:pPr>
              <w:rPr>
                <w:rFonts w:ascii="Times New Roman" w:hAnsi="Times New Roman"/>
                <w:sz w:val="24"/>
              </w:rPr>
            </w:pPr>
            <w:r>
              <w:rPr>
                <w:rFonts w:ascii="Times New Roman" w:hAnsi="Times New Roman"/>
                <w:sz w:val="24"/>
              </w:rPr>
              <w:t>是否已接种疫苗</w:t>
            </w:r>
          </w:p>
        </w:tc>
        <w:tc>
          <w:tcPr>
            <w:tcW w:w="1984" w:type="dxa"/>
            <w:vAlign w:val="center"/>
          </w:tcPr>
          <w:p>
            <w:pPr>
              <w:rPr>
                <w:rFonts w:ascii="Times New Roman" w:hAnsi="Times New Roman"/>
                <w:sz w:val="24"/>
              </w:rPr>
            </w:pPr>
          </w:p>
        </w:tc>
        <w:tc>
          <w:tcPr>
            <w:tcW w:w="2268" w:type="dxa"/>
            <w:vAlign w:val="center"/>
          </w:tcPr>
          <w:p>
            <w:pPr>
              <w:rPr>
                <w:rFonts w:ascii="Times New Roman" w:hAnsi="Times New Roman"/>
                <w:sz w:val="24"/>
              </w:rPr>
            </w:pPr>
            <w:r>
              <w:rPr>
                <w:rFonts w:ascii="Times New Roman" w:hAnsi="Times New Roman"/>
                <w:sz w:val="24"/>
              </w:rPr>
              <w:t>现所在城市</w:t>
            </w:r>
          </w:p>
        </w:tc>
        <w:tc>
          <w:tcPr>
            <w:tcW w:w="1922" w:type="dxa"/>
            <w:vAlign w:val="center"/>
          </w:tcPr>
          <w:p>
            <w:pPr>
              <w:rPr>
                <w:rFonts w:ascii="Times New Roman" w:hAnsi="Times New Roman"/>
                <w:sz w:val="24"/>
              </w:rPr>
            </w:pPr>
          </w:p>
        </w:tc>
      </w:tr>
    </w:tbl>
    <w:p>
      <w:pPr>
        <w:rPr>
          <w:rFonts w:ascii="Times New Roman" w:hAnsi="Times New Roman"/>
        </w:rPr>
      </w:pPr>
      <w:r>
        <w:rPr>
          <w:rFonts w:ascii="Times New Roman" w:hAnsi="Times New Roman"/>
        </w:rPr>
        <w:t>注：请提供成绩单、疫苗接种证明、相关获奖材料等。</w:t>
      </w:r>
    </w:p>
    <w:p>
      <w:pPr>
        <w:widowControl/>
        <w:jc w:val="left"/>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1NzJhZjk2ZGFkYWU1NjcxNDQ2M2FlZWQ0MWU1YmUifQ=="/>
  </w:docVars>
  <w:rsids>
    <w:rsidRoot w:val="4F1806F3"/>
    <w:rsid w:val="00076FA1"/>
    <w:rsid w:val="002E12F0"/>
    <w:rsid w:val="00305BF8"/>
    <w:rsid w:val="00717321"/>
    <w:rsid w:val="0089767A"/>
    <w:rsid w:val="00A06EDD"/>
    <w:rsid w:val="07F156B2"/>
    <w:rsid w:val="2F05212F"/>
    <w:rsid w:val="4F1806F3"/>
    <w:rsid w:val="59553939"/>
    <w:rsid w:val="5D6455ED"/>
    <w:rsid w:val="7A7E9B2C"/>
    <w:rsid w:val="7FAC6E77"/>
    <w:rsid w:val="7FCF9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qFormat/>
    <w:uiPriority w:val="0"/>
    <w:rPr>
      <w:color w:val="333333"/>
      <w:u w:val="none"/>
    </w:rPr>
  </w:style>
  <w:style w:type="character" w:customStyle="1" w:styleId="8">
    <w:name w:val="页眉 字符"/>
    <w:basedOn w:val="6"/>
    <w:link w:val="3"/>
    <w:qFormat/>
    <w:uiPriority w:val="0"/>
    <w:rPr>
      <w:rFonts w:ascii="Calibri" w:hAnsi="Calibri"/>
      <w:kern w:val="2"/>
      <w:sz w:val="18"/>
      <w:szCs w:val="18"/>
    </w:rPr>
  </w:style>
  <w:style w:type="character" w:customStyle="1" w:styleId="9">
    <w:name w:val="页脚 字符"/>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1772</Words>
  <Characters>1964</Characters>
  <Lines>15</Lines>
  <Paragraphs>4</Paragraphs>
  <TotalTime>35</TotalTime>
  <ScaleCrop>false</ScaleCrop>
  <LinksUpToDate>false</LinksUpToDate>
  <CharactersWithSpaces>1969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2022-07-05T19:13:00Z</dcterms:created>
  <dc:creator>L.zyï</dc:creator>
  <cp:lastModifiedBy>灼灼黄沙</cp:lastModifiedBy>
  <dcterms:modified xsi:type="dcterms:W3CDTF">2022-08-02T01:59:38Z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BE1CE4FB9ACF48E3AA71AA6150164CC4</vt:lpwstr>
  </property>
</Properties>
</file>